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0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10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91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1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1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1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164CE80">
      <w:pPr>
        <w:pStyle w:val="91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8088642">
      <w:pPr>
        <w:pStyle w:val="91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B0C6CA4">
      <w:pPr>
        <w:pStyle w:val="91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7"/>
          <w:sz w:val="28"/>
          <w:szCs w:val="28"/>
          <w:lang w:val="en-US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88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12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rPr>
          <w:b/>
          <w:szCs w:val="28"/>
        </w:rPr>
        <w:t xml:space="preserve">     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1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 роботу управителя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багатоквартирних </w:t>
      </w:r>
      <w:r>
        <w:rPr>
          <w:sz w:val="28"/>
          <w:szCs w:val="28"/>
          <w:lang w:val="uk-UA"/>
        </w:rPr>
        <w:t xml:space="preserve">будинків у 20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році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ідповідно до статті 30 Закону України «Про місцеве самоврядування в Україні»,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пункту 5 статті 13 Закону України «Про особливості здійснення права власності у багатоквартирному будинку»,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1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pacing/>
        <w:ind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Style w:val="91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1. Взяти до відома інформацію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szCs w:val="28"/>
          <w:lang w:val="uk-UA"/>
        </w:rPr>
        <w:t xml:space="preserve">го житлово ремонтно-експлуатаційного підприємства</w:t>
      </w:r>
      <w:r>
        <w:rPr>
          <w:sz w:val="28"/>
          <w:szCs w:val="28"/>
          <w:lang w:val="uk-UA"/>
        </w:rPr>
        <w:t xml:space="preserve"> про роботу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управителя багатоквартирних</w:t>
      </w:r>
      <w:r>
        <w:rPr>
          <w:sz w:val="28"/>
          <w:szCs w:val="28"/>
          <w:lang w:val="uk-UA"/>
        </w:rPr>
        <w:t xml:space="preserve"> будинків у 20</w:t>
      </w:r>
      <w:r>
        <w:rPr>
          <w:sz w:val="28"/>
          <w:szCs w:val="28"/>
          <w:lang w:val="uk-UA"/>
        </w:rPr>
        <w:t xml:space="preserve">25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  <w:t xml:space="preserve"> (додається)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tabs>
          <w:tab w:val="left" w:leader="none" w:pos="730"/>
        </w:tabs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2. Забезпечити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  <w:lang w:val="uk-UA"/>
        </w:rPr>
        <w:t xml:space="preserve"> ЖРЕП виконання кошторису витрат на утримання будинків та прибудинкових територій</w:t>
      </w:r>
      <w:r>
        <w:rPr>
          <w:sz w:val="28"/>
          <w:szCs w:val="28"/>
          <w:lang w:val="uk-UA"/>
        </w:rPr>
        <w:t xml:space="preserve">, дотримання вимог надання якісних послуг з управителя багатоквартирними будинками.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39534756">
      <w:pPr>
        <w:pStyle w:val="910"/>
        <w:pBdr/>
        <w:tabs>
          <w:tab w:val="left" w:leader="none" w:pos="900"/>
        </w:tabs>
        <w:spacing/>
        <w:ind w:firstLine="540"/>
        <w:jc w:val="both"/>
        <w:rPr/>
      </w:pPr>
      <w:r>
        <w:rPr>
          <w:spacing w:val="-7"/>
          <w:szCs w:val="28"/>
        </w:rPr>
        <w:t xml:space="preserve">   </w:t>
      </w:r>
      <w:r>
        <w:rPr>
          <w:spacing w:val="-7"/>
          <w:sz w:val="28"/>
          <w:szCs w:val="28"/>
        </w:rPr>
        <w:t xml:space="preserve">3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за виконанням рішення</w:t>
      </w:r>
      <w:r>
        <w:rPr>
          <w:szCs w:val="28"/>
        </w:rPr>
        <w:t xml:space="preserve"> </w:t>
      </w:r>
      <w:r>
        <w:rPr>
          <w:sz w:val="28"/>
          <w:szCs w:val="28"/>
          <w:lang w:val="uk-UA" w:eastAsia="ar-SA"/>
        </w:rPr>
        <w:t xml:space="preserve">залишаю за собою.</w:t>
      </w:r>
      <w:r/>
    </w:p>
    <w:p w14:paraId="1CF0623E">
      <w:pPr>
        <w:pStyle w:val="910"/>
        <w:pBdr/>
        <w:tabs>
          <w:tab w:val="left" w:leader="none" w:pos="900"/>
        </w:tabs>
        <w:spacing/>
        <w:ind w:firstLine="540"/>
        <w:jc w:val="both"/>
        <w:rPr/>
      </w:pPr>
      <w:r>
        <w:rPr>
          <w:sz w:val="28"/>
          <w:szCs w:val="28"/>
          <w:lang w:val="uk-UA" w:eastAsia="ar-SA"/>
        </w:rPr>
      </w:r>
      <w:r/>
    </w:p>
    <w:p w14:paraId="434401D7">
      <w:pPr>
        <w:pStyle w:val="910"/>
        <w:pBdr/>
        <w:tabs>
          <w:tab w:val="left" w:leader="none" w:pos="900"/>
        </w:tabs>
        <w:spacing/>
        <w:ind w:firstLine="540"/>
        <w:jc w:val="both"/>
        <w:rPr/>
      </w:pPr>
      <w:r/>
      <w:r/>
    </w:p>
    <w:p w14:paraId="5877C641">
      <w:pPr>
        <w:pStyle w:val="910"/>
        <w:pBdr/>
        <w:tabs>
          <w:tab w:val="left" w:leader="none" w:pos="900"/>
        </w:tabs>
        <w:spacing/>
        <w:ind w:firstLine="540"/>
        <w:jc w:val="both"/>
        <w:rPr/>
      </w:pPr>
      <w:r/>
      <w:r/>
    </w:p>
    <w:p w14:paraId="7E5C8FCA">
      <w:pPr>
        <w:pStyle w:val="910"/>
        <w:pBdr/>
        <w:tabs>
          <w:tab w:val="left" w:leader="none" w:pos="900"/>
        </w:tabs>
        <w:spacing/>
        <w:ind w:firstLine="540"/>
        <w:jc w:val="both"/>
        <w:rPr/>
      </w:pPr>
      <w:r/>
      <w:r/>
    </w:p>
    <w:p w14:paraId="08B3805A">
      <w:pPr>
        <w:pStyle w:val="910"/>
        <w:pBdr/>
        <w:tabs>
          <w:tab w:val="left" w:leader="none" w:pos="900"/>
        </w:tabs>
        <w:spacing/>
        <w:ind w:firstLine="540"/>
        <w:jc w:val="both"/>
        <w:rPr/>
      </w:pPr>
      <w:r/>
      <w:r/>
    </w:p>
    <w:p w14:paraId="1F50D316">
      <w:pPr>
        <w:pStyle w:val="910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B4CD09A">
      <w:pPr>
        <w:pStyle w:val="912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910"/>
        <w:pBdr/>
        <w:spacing/>
        <w:ind w:right="-1" w:left="6237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10"/>
        <w:pBdr/>
        <w:spacing/>
        <w:ind w:right="-1" w:left="6237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10"/>
        <w:pBdr/>
        <w:spacing/>
        <w:ind/>
        <w:rPr>
          <w:bCs/>
          <w:iCs/>
          <w:sz w:val="28"/>
          <w:szCs w:val="40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</w:p>
    <w:p>
      <w:pPr>
        <w:pStyle w:val="910"/>
        <w:pBdr/>
        <w:spacing/>
        <w:ind/>
        <w:rPr>
          <w:bCs/>
          <w:iCs/>
          <w:sz w:val="28"/>
          <w:szCs w:val="40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</w:p>
    <w:p>
      <w:pPr>
        <w:pStyle w:val="910"/>
        <w:pBdr/>
        <w:spacing/>
        <w:ind/>
        <w:rPr>
          <w:bCs/>
          <w:iCs/>
          <w:sz w:val="28"/>
          <w:szCs w:val="40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</w:p>
    <w:p>
      <w:pPr>
        <w:pStyle w:val="910"/>
        <w:pBdr/>
        <w:spacing/>
        <w:ind/>
        <w:rPr>
          <w:bCs/>
          <w:iCs/>
          <w:sz w:val="28"/>
          <w:szCs w:val="40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</w:p>
    <w:p>
      <w:pPr>
        <w:pStyle w:val="910"/>
        <w:pBdr/>
        <w:spacing/>
        <w:ind/>
        <w:rPr>
          <w:bCs/>
          <w:iCs/>
          <w:sz w:val="28"/>
          <w:szCs w:val="40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</w:p>
    <w:p>
      <w:pPr>
        <w:pStyle w:val="910"/>
        <w:pBdr/>
        <w:spacing/>
        <w:ind/>
        <w:rPr>
          <w:bCs/>
          <w:iCs/>
          <w:sz w:val="28"/>
          <w:szCs w:val="40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</w:p>
    <w:p>
      <w:pPr>
        <w:pStyle w:val="910"/>
        <w:pBdr/>
        <w:spacing/>
        <w:ind/>
        <w:rPr>
          <w:bCs/>
          <w:iCs/>
          <w:sz w:val="28"/>
          <w:szCs w:val="40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</w:p>
    <w:p w14:paraId="7DBEF428">
      <w:pPr>
        <w:pStyle w:val="910"/>
        <w:pBdr/>
        <w:spacing/>
        <w:ind/>
        <w:rPr>
          <w:sz w:val="28"/>
          <w:szCs w:val="28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pacing/>
        <w:ind/>
        <w:rPr>
          <w:iCs/>
          <w:sz w:val="28"/>
          <w:szCs w:val="28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iCs/>
          <w:sz w:val="28"/>
          <w:szCs w:val="28"/>
          <w:lang w:val="uk-UA"/>
        </w:rPr>
      </w:r>
    </w:p>
    <w:p>
      <w:pPr>
        <w:pStyle w:val="910"/>
        <w:pBdr/>
        <w:spacing/>
        <w:ind/>
        <w:rPr>
          <w:bCs/>
          <w:iCs/>
          <w:sz w:val="28"/>
          <w:szCs w:val="40"/>
          <w:lang w:val="uk-UA"/>
        </w:rPr>
      </w:pP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  <w:r>
        <w:rPr>
          <w:bCs/>
          <w:iCs/>
          <w:sz w:val="28"/>
          <w:szCs w:val="40"/>
          <w:lang w:val="uk-UA"/>
        </w:rPr>
      </w:r>
    </w:p>
    <w:p>
      <w:pPr>
        <w:pStyle w:val="910"/>
        <w:pBdr/>
        <w:spacing/>
        <w:ind w:firstLine="5400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10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0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0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0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13</w:t>
      </w:r>
      <w:r>
        <w:rPr>
          <w:sz w:val="24"/>
          <w:szCs w:val="24"/>
          <w:lang w:val="uk-UA"/>
        </w:rPr>
        <w:t xml:space="preserve">.02.2026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88</w:t>
      </w:r>
      <w:r>
        <w:rPr>
          <w:sz w:val="24"/>
          <w:szCs w:val="24"/>
          <w:lang w:val="uk-UA"/>
        </w:rPr>
      </w:r>
    </w:p>
    <w:p>
      <w:pPr>
        <w:pStyle w:val="910"/>
        <w:pBdr/>
        <w:tabs>
          <w:tab w:val="center" w:leader="none" w:pos="4677"/>
        </w:tabs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10"/>
        <w:pBdr/>
        <w:tabs>
          <w:tab w:val="center" w:leader="none" w:pos="4677"/>
        </w:tabs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Інформація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10"/>
        <w:pBdr/>
        <w:tabs>
          <w:tab w:val="center" w:leader="none" w:pos="4677"/>
        </w:tabs>
        <w:spacing/>
        <w:ind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Берестин</w:t>
      </w:r>
      <w:r>
        <w:rPr>
          <w:b/>
          <w:sz w:val="28"/>
          <w:szCs w:val="28"/>
          <w:lang w:val="uk-UA"/>
        </w:rPr>
        <w:t xml:space="preserve">ського житлово ремонтно-експлуатаційного підприємства про роботу управителя багатоквартирних будинків у 2025</w:t>
      </w:r>
      <w:r>
        <w:rPr>
          <w:b/>
          <w:sz w:val="28"/>
          <w:szCs w:val="28"/>
          <w:lang w:val="uk-UA"/>
        </w:rPr>
        <w:t xml:space="preserve"> році</w:t>
      </w:r>
      <w:r>
        <w:rPr>
          <w:b/>
          <w:lang w:val="uk-UA"/>
        </w:rPr>
      </w:r>
      <w:r>
        <w:rPr>
          <w:b/>
          <w:lang w:val="uk-UA"/>
        </w:rPr>
      </w:r>
    </w:p>
    <w:p>
      <w:pPr>
        <w:pStyle w:val="910"/>
        <w:pBdr/>
        <w:spacing/>
        <w:ind/>
        <w:jc w:val="both"/>
        <w:rPr>
          <w:u w:val="none"/>
        </w:rPr>
      </w:pPr>
      <w:r>
        <w:rPr>
          <w:u w:val="none"/>
          <w:lang w:val="uk-UA"/>
        </w:rPr>
      </w:r>
      <w:r>
        <w:rPr>
          <w:u w:val="none"/>
          <w:lang w:val="uk-UA"/>
        </w:rPr>
      </w:r>
      <w:r>
        <w:rPr>
          <w:u w:val="none"/>
        </w:rPr>
      </w:r>
    </w:p>
    <w:p w14:paraId="0F06511A">
      <w:pPr>
        <w:pStyle w:val="926"/>
        <w:pBdr/>
        <w:spacing/>
        <w:ind w:firstLine="708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Н</w:t>
      </w:r>
      <w:r>
        <w:rPr>
          <w:sz w:val="28"/>
          <w:szCs w:val="28"/>
          <w:u w:val="none"/>
        </w:rPr>
        <w:t xml:space="preserve">а обслуговуванні 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Берестин</w:t>
      </w:r>
      <w:r>
        <w:rPr>
          <w:sz w:val="28"/>
          <w:szCs w:val="28"/>
          <w:u w:val="none"/>
        </w:rPr>
        <w:t xml:space="preserve">с</w:t>
      </w:r>
      <w:r>
        <w:rPr>
          <w:sz w:val="28"/>
          <w:szCs w:val="28"/>
          <w:u w:val="none"/>
        </w:rPr>
        <w:t xml:space="preserve">ького ЖРЕ</w:t>
      </w:r>
      <w:r>
        <w:rPr>
          <w:sz w:val="28"/>
          <w:szCs w:val="28"/>
          <w:u w:val="none"/>
        </w:rPr>
        <w:t xml:space="preserve">П </w:t>
      </w:r>
      <w:r>
        <w:rPr>
          <w:sz w:val="28"/>
          <w:szCs w:val="28"/>
          <w:u w:val="none"/>
        </w:rPr>
        <w:t xml:space="preserve"> знаходиться </w:t>
      </w:r>
      <w:r>
        <w:rPr>
          <w:sz w:val="28"/>
          <w:szCs w:val="28"/>
          <w:u w:val="none"/>
        </w:rPr>
        <w:t xml:space="preserve"> 1</w:t>
      </w:r>
      <w:r>
        <w:rPr>
          <w:sz w:val="28"/>
          <w:szCs w:val="28"/>
          <w:u w:val="none"/>
        </w:rPr>
        <w:t xml:space="preserve">42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багатоквартирних </w:t>
      </w:r>
      <w:r>
        <w:rPr>
          <w:sz w:val="28"/>
          <w:szCs w:val="28"/>
          <w:u w:val="none"/>
        </w:rPr>
        <w:t xml:space="preserve">житлових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  </w:t>
      </w:r>
      <w:r>
        <w:rPr>
          <w:sz w:val="28"/>
          <w:szCs w:val="28"/>
          <w:u w:val="none"/>
        </w:rPr>
        <w:t xml:space="preserve">будинків</w:t>
      </w:r>
      <w:r>
        <w:rPr>
          <w:sz w:val="28"/>
          <w:szCs w:val="28"/>
          <w:u w:val="none"/>
        </w:rPr>
        <w:t xml:space="preserve">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62AD352">
      <w:pPr>
        <w:pStyle w:val="926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Загальна площа будинків 234,4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тис. м</w:t>
      </w:r>
      <w:r>
        <w:rPr>
          <w:sz w:val="28"/>
          <w:szCs w:val="28"/>
          <w:u w:val="none"/>
        </w:rPr>
        <w:t xml:space="preserve">.</w:t>
      </w:r>
      <w:r>
        <w:rPr>
          <w:sz w:val="28"/>
          <w:szCs w:val="28"/>
          <w:u w:val="none"/>
        </w:rPr>
        <w:t xml:space="preserve">кв.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08BE1B23">
      <w:pPr>
        <w:pStyle w:val="926"/>
        <w:pBdr/>
        <w:spacing/>
        <w:ind w:firstLine="708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Загальна площа прибудинкових територій </w:t>
      </w:r>
      <w:r>
        <w:rPr>
          <w:sz w:val="28"/>
          <w:szCs w:val="28"/>
          <w:u w:val="none"/>
        </w:rPr>
        <w:t xml:space="preserve">22</w:t>
      </w:r>
      <w:r>
        <w:rPr>
          <w:sz w:val="28"/>
          <w:szCs w:val="28"/>
          <w:u w:val="none"/>
        </w:rPr>
        <w:t xml:space="preserve">2</w:t>
      </w:r>
      <w:r>
        <w:rPr>
          <w:sz w:val="28"/>
          <w:szCs w:val="28"/>
          <w:u w:val="none"/>
        </w:rPr>
        <w:t xml:space="preserve">,</w:t>
      </w:r>
      <w:r>
        <w:rPr>
          <w:sz w:val="28"/>
          <w:szCs w:val="28"/>
          <w:u w:val="none"/>
        </w:rPr>
        <w:t xml:space="preserve">5</w:t>
      </w:r>
      <w:r>
        <w:rPr>
          <w:sz w:val="28"/>
          <w:szCs w:val="28"/>
          <w:u w:val="none"/>
        </w:rPr>
        <w:t xml:space="preserve"> тис. м</w:t>
      </w:r>
      <w:r>
        <w:rPr>
          <w:sz w:val="28"/>
          <w:szCs w:val="28"/>
          <w:u w:val="none"/>
        </w:rPr>
        <w:t xml:space="preserve">.</w:t>
      </w:r>
      <w:r>
        <w:rPr>
          <w:sz w:val="28"/>
          <w:szCs w:val="28"/>
          <w:u w:val="none"/>
        </w:rPr>
        <w:t xml:space="preserve">кв.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56A94390">
      <w:pPr>
        <w:pStyle w:val="926"/>
        <w:pBdr/>
        <w:spacing/>
        <w:ind w:firstLine="708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Загальна площа покрівель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67650</w:t>
      </w:r>
      <w:r>
        <w:rPr>
          <w:sz w:val="28"/>
          <w:szCs w:val="28"/>
          <w:u w:val="none"/>
        </w:rPr>
        <w:t xml:space="preserve">,7 м</w:t>
      </w:r>
      <w:r>
        <w:rPr>
          <w:sz w:val="28"/>
          <w:szCs w:val="28"/>
          <w:u w:val="none"/>
        </w:rPr>
        <w:t xml:space="preserve">.</w:t>
      </w:r>
      <w:r>
        <w:rPr>
          <w:sz w:val="28"/>
          <w:szCs w:val="28"/>
          <w:u w:val="none"/>
        </w:rPr>
        <w:t xml:space="preserve">кв, </w:t>
      </w:r>
      <w:r>
        <w:rPr>
          <w:sz w:val="28"/>
          <w:szCs w:val="28"/>
          <w:u w:val="none"/>
        </w:rPr>
        <w:t xml:space="preserve"> з них </w:t>
      </w:r>
      <w:r>
        <w:rPr>
          <w:sz w:val="28"/>
          <w:szCs w:val="28"/>
          <w:u w:val="none"/>
        </w:rPr>
        <w:t xml:space="preserve">м’яких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24EDEDF5">
      <w:pPr>
        <w:pStyle w:val="926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56515</w:t>
      </w:r>
      <w:r>
        <w:rPr>
          <w:sz w:val="28"/>
          <w:szCs w:val="28"/>
          <w:u w:val="none"/>
        </w:rPr>
        <w:t xml:space="preserve">,1 м</w:t>
      </w:r>
      <w:r>
        <w:rPr>
          <w:sz w:val="28"/>
          <w:szCs w:val="28"/>
          <w:u w:val="none"/>
        </w:rPr>
        <w:t xml:space="preserve">.</w:t>
      </w:r>
      <w:r>
        <w:rPr>
          <w:sz w:val="28"/>
          <w:szCs w:val="28"/>
          <w:u w:val="none"/>
        </w:rPr>
        <w:t xml:space="preserve">кв, </w:t>
      </w:r>
      <w:r>
        <w:rPr>
          <w:sz w:val="28"/>
          <w:szCs w:val="28"/>
          <w:u w:val="none"/>
        </w:rPr>
        <w:t xml:space="preserve">шиферних</w:t>
      </w:r>
      <w:r>
        <w:rPr>
          <w:sz w:val="28"/>
          <w:szCs w:val="28"/>
          <w:u w:val="none"/>
        </w:rPr>
        <w:t xml:space="preserve"> 10518</w:t>
      </w:r>
      <w:r>
        <w:rPr>
          <w:sz w:val="28"/>
          <w:szCs w:val="28"/>
          <w:u w:val="none"/>
        </w:rPr>
        <w:t xml:space="preserve">,</w:t>
      </w:r>
      <w:r>
        <w:rPr>
          <w:sz w:val="28"/>
          <w:szCs w:val="28"/>
          <w:u w:val="none"/>
        </w:rPr>
        <w:t xml:space="preserve">6 м</w:t>
      </w:r>
      <w:r>
        <w:rPr>
          <w:sz w:val="28"/>
          <w:szCs w:val="28"/>
          <w:u w:val="none"/>
        </w:rPr>
        <w:t xml:space="preserve">.</w:t>
      </w:r>
      <w:r>
        <w:rPr>
          <w:sz w:val="28"/>
          <w:szCs w:val="28"/>
          <w:u w:val="none"/>
        </w:rPr>
        <w:t xml:space="preserve">кв.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39116796">
      <w:pPr>
        <w:pStyle w:val="926"/>
        <w:pBdr/>
        <w:spacing/>
        <w:ind w:firstLine="708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Мешканця</w:t>
      </w:r>
      <w:r>
        <w:rPr>
          <w:sz w:val="28"/>
          <w:szCs w:val="28"/>
          <w:u w:val="none"/>
        </w:rPr>
        <w:t xml:space="preserve">м</w:t>
      </w:r>
      <w:r>
        <w:rPr>
          <w:sz w:val="28"/>
          <w:szCs w:val="28"/>
          <w:u w:val="none"/>
        </w:rPr>
        <w:t xml:space="preserve"> багатоквартирних будинків надаються послуг</w:t>
      </w:r>
      <w:r>
        <w:rPr>
          <w:sz w:val="28"/>
          <w:szCs w:val="28"/>
          <w:u w:val="none"/>
        </w:rPr>
        <w:t xml:space="preserve">и з управління житловими будинками</w:t>
      </w:r>
      <w:r>
        <w:rPr>
          <w:sz w:val="28"/>
          <w:szCs w:val="28"/>
          <w:u w:val="none"/>
        </w:rPr>
        <w:t xml:space="preserve"> згідно Р</w:t>
      </w:r>
      <w:r>
        <w:rPr>
          <w:sz w:val="28"/>
          <w:szCs w:val="28"/>
          <w:u w:val="none"/>
        </w:rPr>
        <w:t xml:space="preserve">ішення </w:t>
      </w:r>
      <w:r>
        <w:rPr>
          <w:sz w:val="28"/>
          <w:szCs w:val="28"/>
          <w:u w:val="none"/>
        </w:rPr>
        <w:t xml:space="preserve">виконавчого комітету Красноградської міської ради  від 03.05.2019 року № 92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6552617">
      <w:pPr>
        <w:pStyle w:val="926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“Про призначення управителя багатоквартирних будинків”, а саме: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3BE2E929">
      <w:pPr>
        <w:pStyle w:val="926"/>
        <w:numPr>
          <w:ilvl w:val="0"/>
          <w:numId w:val="9"/>
        </w:numPr>
        <w:pBdr/>
        <w:tabs>
          <w:tab w:val="clear" w:leader="none" w:pos="720"/>
        </w:tabs>
        <w:spacing/>
        <w:ind w:right="0" w:firstLine="360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прибирання прибудинкових територій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7A7AABAF">
      <w:pPr>
        <w:pStyle w:val="926"/>
        <w:numPr>
          <w:ilvl w:val="0"/>
          <w:numId w:val="9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прибирання сходових кліток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6F832F5C">
      <w:pPr>
        <w:pStyle w:val="926"/>
        <w:numPr>
          <w:ilvl w:val="0"/>
          <w:numId w:val="9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технічне обслуговування ліфтів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4D6791B1">
      <w:pPr>
        <w:pStyle w:val="926"/>
        <w:numPr>
          <w:ilvl w:val="0"/>
          <w:numId w:val="9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технічне обслуговування</w:t>
      </w:r>
      <w:r>
        <w:rPr>
          <w:sz w:val="28"/>
          <w:szCs w:val="28"/>
          <w:u w:val="none"/>
        </w:rPr>
        <w:t xml:space="preserve"> внутріш</w:t>
      </w:r>
      <w:r>
        <w:rPr>
          <w:sz w:val="28"/>
          <w:szCs w:val="28"/>
          <w:u w:val="none"/>
        </w:rPr>
        <w:t xml:space="preserve">ньобудинкових систем</w:t>
      </w:r>
      <w:r>
        <w:rPr>
          <w:sz w:val="28"/>
          <w:szCs w:val="28"/>
          <w:u w:val="none"/>
        </w:rPr>
        <w:t xml:space="preserve">: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3D8B643E">
      <w:pPr>
        <w:pStyle w:val="926"/>
        <w:pBdr/>
        <w:spacing/>
        <w:ind w:firstLine="0" w:left="108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- холодного водопостачання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F3780DF">
      <w:pPr>
        <w:pStyle w:val="926"/>
        <w:pBdr/>
        <w:spacing/>
        <w:ind w:firstLine="0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                - водовідведення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213BED07">
      <w:pPr>
        <w:pStyle w:val="926"/>
        <w:pBdr/>
        <w:spacing/>
        <w:ind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                - централізованого опалення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07BCEF73">
      <w:pPr>
        <w:pStyle w:val="926"/>
        <w:numPr>
          <w:ilvl w:val="0"/>
          <w:numId w:val="9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обслуговування димових</w:t>
      </w:r>
      <w:r>
        <w:rPr>
          <w:sz w:val="28"/>
          <w:szCs w:val="28"/>
          <w:u w:val="none"/>
        </w:rPr>
        <w:t xml:space="preserve"> та вентиляційних </w:t>
      </w:r>
      <w:r>
        <w:rPr>
          <w:sz w:val="28"/>
          <w:szCs w:val="28"/>
          <w:u w:val="none"/>
        </w:rPr>
        <w:t xml:space="preserve"> каналів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28D4C68">
      <w:pPr>
        <w:pStyle w:val="926"/>
        <w:numPr>
          <w:ilvl w:val="0"/>
          <w:numId w:val="9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технічне обслуговування та поточний ремонт мереж</w:t>
      </w:r>
      <w:r>
        <w:rPr>
          <w:sz w:val="28"/>
          <w:szCs w:val="28"/>
          <w:u w:val="none"/>
        </w:rPr>
        <w:t xml:space="preserve"> електропостачання та електрообладнання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0DA8E931">
      <w:pPr>
        <w:pStyle w:val="926"/>
        <w:numPr>
          <w:ilvl w:val="0"/>
          <w:numId w:val="9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поточний ремонт під’їздів та сходових клітин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F42D000">
      <w:pPr>
        <w:pStyle w:val="926"/>
        <w:numPr>
          <w:ilvl w:val="0"/>
          <w:numId w:val="9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поточний</w:t>
      </w:r>
      <w:r>
        <w:rPr>
          <w:sz w:val="28"/>
          <w:szCs w:val="28"/>
          <w:u w:val="none"/>
        </w:rPr>
        <w:t xml:space="preserve"> ремонт </w:t>
      </w:r>
      <w:r>
        <w:rPr>
          <w:sz w:val="28"/>
          <w:szCs w:val="28"/>
          <w:u w:val="none"/>
        </w:rPr>
        <w:t xml:space="preserve">покрівлі житлових будинків</w:t>
      </w:r>
      <w:r>
        <w:rPr>
          <w:sz w:val="28"/>
          <w:szCs w:val="28"/>
          <w:u w:val="none"/>
        </w:rPr>
        <w:t xml:space="preserve">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6EC340F8">
      <w:pPr>
        <w:pStyle w:val="926"/>
        <w:numPr>
          <w:ilvl w:val="0"/>
          <w:numId w:val="9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освітлення м</w:t>
      </w:r>
      <w:r>
        <w:rPr>
          <w:sz w:val="28"/>
          <w:szCs w:val="28"/>
          <w:u w:val="none"/>
        </w:rPr>
        <w:t xml:space="preserve">іст загальн</w:t>
      </w:r>
      <w:r>
        <w:rPr>
          <w:sz w:val="28"/>
          <w:szCs w:val="28"/>
          <w:u w:val="none"/>
        </w:rPr>
        <w:t xml:space="preserve">ого користування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2D688AB9">
      <w:pPr>
        <w:pStyle w:val="926"/>
        <w:numPr>
          <w:ilvl w:val="0"/>
          <w:numId w:val="9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підкачування води в 9-ти поверхових будинках.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52EC4722">
      <w:pPr>
        <w:pStyle w:val="926"/>
        <w:pBdr/>
        <w:spacing/>
        <w:ind w:firstLine="708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На балансі Берестин</w:t>
      </w:r>
      <w:r>
        <w:rPr>
          <w:sz w:val="28"/>
          <w:szCs w:val="28"/>
          <w:u w:val="none"/>
        </w:rPr>
        <w:t xml:space="preserve">ського ЖРЕП знаходиться 102</w:t>
      </w:r>
      <w:r>
        <w:rPr>
          <w:sz w:val="28"/>
          <w:szCs w:val="28"/>
          <w:u w:val="none"/>
        </w:rPr>
        <w:t xml:space="preserve"> систем</w:t>
      </w:r>
      <w:r>
        <w:rPr>
          <w:sz w:val="28"/>
          <w:szCs w:val="28"/>
          <w:u w:val="none"/>
        </w:rPr>
        <w:t xml:space="preserve">и</w:t>
      </w:r>
      <w:r>
        <w:rPr>
          <w:sz w:val="28"/>
          <w:szCs w:val="28"/>
          <w:u w:val="none"/>
        </w:rPr>
        <w:t xml:space="preserve"> центрального опалення.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B41EFC9">
      <w:pPr>
        <w:pStyle w:val="926"/>
        <w:pBdr/>
        <w:spacing/>
        <w:ind w:firstLine="708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Проведено</w:t>
      </w:r>
      <w:r>
        <w:rPr>
          <w:sz w:val="28"/>
          <w:szCs w:val="28"/>
          <w:u w:val="none"/>
        </w:rPr>
        <w:t xml:space="preserve"> гідравлічні</w:t>
      </w:r>
      <w:r>
        <w:rPr>
          <w:sz w:val="28"/>
          <w:szCs w:val="28"/>
          <w:u w:val="none"/>
        </w:rPr>
        <w:t xml:space="preserve"> випробування внутрішньобудинкових систем опалення з пі</w:t>
      </w:r>
      <w:r>
        <w:rPr>
          <w:sz w:val="28"/>
          <w:szCs w:val="28"/>
          <w:u w:val="none"/>
        </w:rPr>
        <w:t xml:space="preserve">дписанням актів готовності в 102</w:t>
      </w:r>
      <w:r>
        <w:rPr>
          <w:sz w:val="28"/>
          <w:szCs w:val="28"/>
          <w:u w:val="none"/>
        </w:rPr>
        <w:t xml:space="preserve"> багатоквартирних будинках.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4604C61F">
      <w:pPr>
        <w:pStyle w:val="926"/>
        <w:pBdr/>
        <w:spacing/>
        <w:ind w:firstLine="708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За </w:t>
      </w:r>
      <w:r>
        <w:rPr>
          <w:sz w:val="28"/>
          <w:szCs w:val="28"/>
          <w:u w:val="none"/>
        </w:rPr>
        <w:t xml:space="preserve">2025рік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 виконано </w:t>
      </w:r>
      <w:r>
        <w:rPr>
          <w:sz w:val="28"/>
          <w:szCs w:val="28"/>
          <w:u w:val="none"/>
        </w:rPr>
        <w:t xml:space="preserve"> робіт</w:t>
      </w:r>
      <w:r>
        <w:rPr>
          <w:sz w:val="28"/>
          <w:szCs w:val="28"/>
          <w:u w:val="none"/>
        </w:rPr>
        <w:t xml:space="preserve">и</w:t>
      </w:r>
      <w:r>
        <w:rPr>
          <w:sz w:val="28"/>
          <w:szCs w:val="28"/>
          <w:u w:val="none"/>
        </w:rPr>
        <w:t xml:space="preserve"> по підготовці житлових будинків до сталого функціонуван</w:t>
      </w:r>
      <w:r>
        <w:rPr>
          <w:sz w:val="28"/>
          <w:szCs w:val="28"/>
          <w:u w:val="none"/>
        </w:rPr>
        <w:t xml:space="preserve">ня в осінньо-зимовий період 2025-2026 </w:t>
      </w:r>
      <w:r>
        <w:rPr>
          <w:sz w:val="28"/>
          <w:szCs w:val="28"/>
          <w:u w:val="none"/>
        </w:rPr>
        <w:t xml:space="preserve">р.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6122D178">
      <w:pPr>
        <w:pStyle w:val="926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Виконані наступні заходи.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509479EF">
      <w:pPr>
        <w:pStyle w:val="926"/>
        <w:pBdr/>
        <w:spacing/>
        <w:ind w:left="36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- Обстежені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д</w:t>
      </w:r>
      <w:r>
        <w:rPr>
          <w:sz w:val="28"/>
          <w:szCs w:val="28"/>
          <w:u w:val="none"/>
        </w:rPr>
        <w:t xml:space="preserve">имовентиляційні канали по 142</w:t>
      </w:r>
      <w:r>
        <w:rPr>
          <w:sz w:val="28"/>
          <w:szCs w:val="28"/>
          <w:u w:val="none"/>
        </w:rPr>
        <w:t xml:space="preserve"> будинках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02A60A66">
      <w:pPr>
        <w:pStyle w:val="926"/>
        <w:pBdr/>
        <w:spacing/>
        <w:ind w:left="36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- Відремонтовано </w:t>
      </w:r>
      <w:r>
        <w:rPr>
          <w:sz w:val="28"/>
          <w:szCs w:val="28"/>
          <w:u w:val="none"/>
        </w:rPr>
        <w:t xml:space="preserve">20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під’їздів</w:t>
      </w:r>
      <w:r>
        <w:rPr>
          <w:sz w:val="28"/>
          <w:szCs w:val="28"/>
          <w:u w:val="none"/>
        </w:rPr>
        <w:t xml:space="preserve"> багатоквартирних будинків;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3AB870D1">
      <w:pPr>
        <w:pStyle w:val="926"/>
        <w:pBdr/>
        <w:spacing/>
        <w:ind w:left="36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- Замінено 526 різних кранів та 640</w:t>
      </w:r>
      <w:r>
        <w:rPr>
          <w:sz w:val="28"/>
          <w:szCs w:val="28"/>
          <w:u w:val="none"/>
        </w:rPr>
        <w:t xml:space="preserve">м </w:t>
      </w:r>
      <w:r>
        <w:rPr>
          <w:sz w:val="28"/>
          <w:szCs w:val="28"/>
          <w:u w:val="none"/>
        </w:rPr>
        <w:t xml:space="preserve"> труб різного діаметру на системах опалення та холодного водопостачання.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00D69571">
      <w:pPr>
        <w:pStyle w:val="926"/>
        <w:pBdr/>
        <w:spacing/>
        <w:ind w:left="36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- Замінено </w:t>
      </w:r>
      <w:r>
        <w:rPr>
          <w:sz w:val="28"/>
          <w:szCs w:val="28"/>
          <w:u w:val="none"/>
        </w:rPr>
        <w:t xml:space="preserve">490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  <w:lang w:val="ru-RU"/>
        </w:rPr>
        <w:t xml:space="preserve">м</w:t>
      </w:r>
      <w:r>
        <w:rPr>
          <w:sz w:val="28"/>
          <w:szCs w:val="28"/>
          <w:u w:val="none"/>
        </w:rPr>
        <w:t xml:space="preserve"> труб на системах водовідведення;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0C6C166C">
      <w:pPr>
        <w:pStyle w:val="926"/>
        <w:pBdr/>
        <w:spacing/>
        <w:ind w:left="36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- Проведено поточний ремонт </w:t>
      </w:r>
      <w:r>
        <w:rPr>
          <w:sz w:val="28"/>
          <w:szCs w:val="28"/>
          <w:u w:val="none"/>
        </w:rPr>
        <w:t xml:space="preserve">м’яких</w:t>
      </w:r>
      <w:r>
        <w:rPr>
          <w:sz w:val="28"/>
          <w:szCs w:val="28"/>
          <w:u w:val="none"/>
        </w:rPr>
        <w:t xml:space="preserve"> покрівель загальною площею 1520</w:t>
      </w:r>
      <w:r>
        <w:rPr>
          <w:sz w:val="28"/>
          <w:szCs w:val="28"/>
          <w:u w:val="none"/>
        </w:rPr>
        <w:t xml:space="preserve">м.кв.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2C57CA41">
      <w:pPr>
        <w:pStyle w:val="926"/>
        <w:pBdr/>
        <w:spacing/>
        <w:ind w:right="0" w:firstLine="567" w:left="0"/>
        <w:jc w:val="both"/>
        <w:rPr>
          <w:u w:val="none"/>
        </w:rPr>
      </w:pPr>
      <w:r>
        <w:rPr>
          <w:sz w:val="28"/>
          <w:szCs w:val="28"/>
          <w:u w:val="none"/>
        </w:rPr>
        <w:t xml:space="preserve">- Виконано 14</w:t>
      </w:r>
      <w:r>
        <w:rPr>
          <w:sz w:val="28"/>
          <w:szCs w:val="28"/>
          <w:u w:val="none"/>
        </w:rPr>
        <w:t xml:space="preserve">2</w:t>
      </w:r>
      <w:r>
        <w:rPr>
          <w:sz w:val="28"/>
          <w:szCs w:val="28"/>
          <w:u w:val="none"/>
        </w:rPr>
        <w:t xml:space="preserve"> м.кв.</w:t>
      </w:r>
      <w:r>
        <w:rPr>
          <w:sz w:val="28"/>
          <w:szCs w:val="28"/>
          <w:u w:val="none"/>
        </w:rPr>
        <w:t xml:space="preserve"> скління та проводиться ремонт віконних рам місць загального користування багатоквартирних будинків;</w:t>
      </w:r>
      <w:r>
        <w:rPr>
          <w:u w:val="none"/>
        </w:rPr>
      </w:r>
      <w:r>
        <w:rPr>
          <w:u w:val="none"/>
        </w:rPr>
      </w:r>
    </w:p>
    <w:p w14:paraId="00CADA41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- Відремонтовано 26</w:t>
      </w:r>
      <w:r>
        <w:rPr>
          <w:sz w:val="28"/>
          <w:szCs w:val="28"/>
          <w:u w:val="none"/>
        </w:rPr>
        <w:t xml:space="preserve"> вхідних дверей до </w:t>
      </w:r>
      <w:r>
        <w:rPr>
          <w:sz w:val="28"/>
          <w:szCs w:val="28"/>
          <w:u w:val="none"/>
        </w:rPr>
        <w:t xml:space="preserve">під’їздів</w:t>
      </w:r>
      <w:r>
        <w:rPr>
          <w:sz w:val="28"/>
          <w:szCs w:val="28"/>
          <w:u w:val="none"/>
        </w:rPr>
        <w:t xml:space="preserve">, підвальних приміщень та технічних поверхів;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428F57DC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-</w:t>
      </w:r>
      <w:r>
        <w:rPr>
          <w:sz w:val="28"/>
          <w:szCs w:val="28"/>
          <w:u w:val="none"/>
        </w:rPr>
        <w:t xml:space="preserve"> Проведено обстеження, технічний огляд</w:t>
      </w:r>
      <w:r>
        <w:rPr>
          <w:sz w:val="28"/>
          <w:szCs w:val="28"/>
          <w:u w:val="none"/>
        </w:rPr>
        <w:t xml:space="preserve"> та поточний ремонт 97</w:t>
      </w:r>
      <w:r>
        <w:rPr>
          <w:sz w:val="28"/>
          <w:szCs w:val="28"/>
          <w:u w:val="none"/>
        </w:rPr>
        <w:t xml:space="preserve"> систем</w:t>
      </w:r>
      <w:r>
        <w:rPr>
          <w:sz w:val="28"/>
          <w:szCs w:val="28"/>
          <w:u w:val="none"/>
        </w:rPr>
        <w:t xml:space="preserve"> електропостачання.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7E1C2278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На реалізацію програми розвитку житлової інфраструктури Берестинської міської ради, що перебуває на балансі Берестинського ЖРЕП було виділено з бюджету громади 1543800 грн.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437C451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  <w:t xml:space="preserve">За  бюджетні кошти в розмірі  </w:t>
      </w:r>
      <w:r>
        <w:rPr>
          <w:sz w:val="28"/>
          <w:szCs w:val="28"/>
          <w:u w:val="none"/>
        </w:rPr>
        <w:t xml:space="preserve">345000</w:t>
      </w:r>
      <w:r>
        <w:rPr>
          <w:sz w:val="28"/>
          <w:szCs w:val="28"/>
          <w:u w:val="none"/>
        </w:rPr>
        <w:t xml:space="preserve">,00</w:t>
      </w:r>
      <w:r>
        <w:rPr>
          <w:sz w:val="28"/>
          <w:szCs w:val="28"/>
          <w:u w:val="none"/>
        </w:rPr>
        <w:t xml:space="preserve"> грн. придбано насосну станцію для підкачки води в будинок 22 на 3-му мікрорайоні. Наразі ведуться роботи по монтажу та підкаченню обладнання.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2E138488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Капітальний ремонт та тех обслкуговування ліфтів виділено 118500 грн. Заміна вікон місць загальн</w:t>
      </w:r>
      <w:r>
        <w:rPr>
          <w:sz w:val="28"/>
          <w:szCs w:val="28"/>
          <w:u w:val="none"/>
        </w:rPr>
        <w:t xml:space="preserve">ого користування за адресою Кот</w:t>
      </w:r>
      <w:r>
        <w:rPr>
          <w:sz w:val="28"/>
          <w:szCs w:val="28"/>
          <w:u w:val="none"/>
        </w:rPr>
        <w:t xml:space="preserve">ляревського</w:t>
      </w:r>
      <w:r>
        <w:rPr>
          <w:sz w:val="28"/>
          <w:szCs w:val="28"/>
          <w:u w:val="none"/>
        </w:rPr>
        <w:t xml:space="preserve">,</w:t>
      </w:r>
      <w:r>
        <w:rPr>
          <w:sz w:val="28"/>
          <w:szCs w:val="28"/>
          <w:u w:val="none"/>
        </w:rPr>
        <w:t xml:space="preserve"> 54  -  230 000 грн. Ремонт покрівлі в місцях</w:t>
      </w:r>
      <w:r>
        <w:rPr>
          <w:sz w:val="28"/>
          <w:szCs w:val="28"/>
          <w:u w:val="none"/>
        </w:rPr>
        <w:t xml:space="preserve"> загального користування та  </w:t>
      </w:r>
      <w:r>
        <w:rPr>
          <w:sz w:val="28"/>
          <w:szCs w:val="28"/>
          <w:u w:val="none"/>
        </w:rPr>
        <w:t xml:space="preserve"> над ліфтовими 99000 грн.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0DC7AD6F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Технічне обслуговува</w:t>
      </w:r>
      <w:r>
        <w:rPr>
          <w:sz w:val="28"/>
          <w:szCs w:val="28"/>
          <w:u w:val="none"/>
        </w:rPr>
        <w:t xml:space="preserve">ння автомобілів Форд та ДАЮН </w:t>
        <w:noBreakHyphen/>
        <w:t xml:space="preserve"> 53000 грн. Улаштування покриття пішохідних доріжок (Харківська 123,125а) 79800 грн.</w:t>
      </w:r>
      <w:r>
        <w:rPr>
          <w:sz w:val="28"/>
          <w:szCs w:val="28"/>
          <w:u w:val="none"/>
        </w:rPr>
        <w:t xml:space="preserve"> Т.О. плити перекриття с. Піщанка буд. 11 </w:t>
        <w:noBreakHyphen/>
        <w:t xml:space="preserve"> 25000 грн.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321C6923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 Придбання кранів та труб різних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діаметрів для ремонту внутрішньобудинкових мереж тепло та водопостачання  - 125000 грн.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0DC29C64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  <w:t xml:space="preserve">Технічне обслуговування теплових лічильників (Наукова, 16) </w:t>
        <w:noBreakHyphen/>
        <w:t xml:space="preserve"> 25000 грн. 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2A97452A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  <w:t xml:space="preserve">Заміна каналізаційних виходів (Харківська 123,125а)- 20000 грн.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6EAD7993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  <w:t xml:space="preserve">Придбання інструменту для ремонту внутрішньобудинкових мереж </w:t>
        <w:noBreakHyphen/>
        <w:t xml:space="preserve"> 55000 грн.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02342A8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Підприємство приймало активну участь у ліквідації  наслідків ракетних обстрілів громади. Відремонтова</w:t>
      </w:r>
      <w:r>
        <w:rPr>
          <w:sz w:val="28"/>
          <w:szCs w:val="28"/>
          <w:u w:val="none"/>
        </w:rPr>
        <w:t xml:space="preserve">но  436 м.кв.</w:t>
      </w:r>
      <w:r>
        <w:rPr>
          <w:sz w:val="28"/>
          <w:szCs w:val="28"/>
          <w:u w:val="none"/>
        </w:rPr>
        <w:t xml:space="preserve"> шиферних покрівель багатоквартирних будинків</w:t>
      </w:r>
      <w:r>
        <w:rPr>
          <w:sz w:val="28"/>
          <w:szCs w:val="28"/>
          <w:u w:val="none"/>
        </w:rPr>
        <w:t xml:space="preserve">,</w:t>
      </w:r>
      <w:r>
        <w:rPr>
          <w:sz w:val="28"/>
          <w:szCs w:val="28"/>
          <w:u w:val="none"/>
        </w:rPr>
        <w:t xml:space="preserve"> проводилося скління місць загального користування. Будівельні   матеріали для ліквідації  наслідків обстрілів  були придбані за кошти місцевого бюджету на суму 337тис. грн.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402F957D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 Двірники Берестин</w:t>
      </w:r>
      <w:r>
        <w:rPr>
          <w:sz w:val="28"/>
          <w:szCs w:val="28"/>
          <w:u w:val="none"/>
        </w:rPr>
        <w:t xml:space="preserve">ського ЖРЕП в належному стані утримують прибудинкову територію.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BC6B097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Заборгованості в розрахунках за енергоносії немає</w:t>
      </w:r>
      <w:r>
        <w:rPr>
          <w:sz w:val="28"/>
          <w:szCs w:val="28"/>
          <w:u w:val="none"/>
        </w:rPr>
        <w:t xml:space="preserve">.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661D0E7B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Рівень проплати за послуги з управління багатоквар</w:t>
      </w:r>
      <w:r>
        <w:rPr>
          <w:sz w:val="28"/>
          <w:szCs w:val="28"/>
          <w:u w:val="none"/>
        </w:rPr>
        <w:t xml:space="preserve">тирними будинками  за 2025 рік склав </w:t>
        <w:noBreakHyphen/>
        <w:t xml:space="preserve"> 100,4</w:t>
      </w:r>
      <w:r>
        <w:rPr>
          <w:sz w:val="28"/>
          <w:szCs w:val="28"/>
          <w:u w:val="none"/>
        </w:rPr>
        <w:t xml:space="preserve">%.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0AECE6EE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Будинки</w:t>
      </w:r>
      <w:r>
        <w:rPr>
          <w:sz w:val="28"/>
          <w:szCs w:val="28"/>
          <w:u w:val="none"/>
        </w:rPr>
        <w:t xml:space="preserve">,</w:t>
      </w:r>
      <w:r>
        <w:rPr>
          <w:sz w:val="28"/>
          <w:szCs w:val="28"/>
          <w:u w:val="none"/>
        </w:rPr>
        <w:t xml:space="preserve"> які знаходяться на б</w:t>
      </w:r>
      <w:r>
        <w:rPr>
          <w:sz w:val="28"/>
          <w:szCs w:val="28"/>
          <w:u w:val="none"/>
        </w:rPr>
        <w:t xml:space="preserve">алансі  ЖРЕП  </w:t>
      </w:r>
      <w:r>
        <w:rPr>
          <w:sz w:val="28"/>
          <w:szCs w:val="28"/>
          <w:u w:val="none"/>
        </w:rPr>
        <w:t xml:space="preserve">збудовані в 60-80 роки минулого сторіччя. Більшість будинків потребує капітального ремонту покрівель, внутрішньо будинкових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систем опалення, водопостачання, водовідведення,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електропостачання, </w:t>
      </w:r>
      <w:r>
        <w:rPr>
          <w:sz w:val="28"/>
          <w:szCs w:val="28"/>
          <w:u w:val="none"/>
        </w:rPr>
        <w:t xml:space="preserve">ганків, </w:t>
      </w:r>
      <w:r>
        <w:rPr>
          <w:sz w:val="28"/>
          <w:szCs w:val="28"/>
          <w:u w:val="none"/>
        </w:rPr>
        <w:t xml:space="preserve">тротуарних доріжок,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облаштування мощення</w:t>
      </w:r>
      <w:r>
        <w:rPr>
          <w:sz w:val="28"/>
          <w:szCs w:val="28"/>
          <w:u w:val="none"/>
        </w:rPr>
        <w:t xml:space="preserve">  по периметру будинків,</w:t>
      </w:r>
      <w:r>
        <w:rPr>
          <w:sz w:val="28"/>
          <w:szCs w:val="28"/>
          <w:u w:val="none"/>
        </w:rPr>
        <w:t xml:space="preserve"> залаштування тріщин зовнішніх стін.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4130595B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Для енергозбереження  в житловому фонді необхідно провести утеплення фасадів, трубопроводів в підвалах будинків, утеплення чердачних перекриттів, а також заміну вікон сходових клітин та вхідних в під’їзди дверних блоків.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370EE2F9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В калькуляції на управління багатоквартирних будинків кошти на проведення капітальних витрат не передбачається.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1679CFC0">
      <w:pPr>
        <w:pStyle w:val="926"/>
        <w:pBdr/>
        <w:spacing/>
        <w:ind w:right="0" w:firstLine="567" w:left="0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</w:r>
      <w:r>
        <w:rPr>
          <w:sz w:val="28"/>
          <w:szCs w:val="28"/>
          <w:u w:val="none"/>
        </w:rPr>
        <w:t xml:space="preserve">Підприємство постійно працює над підвищенням якості надаваємих послуг мешканцям багатоквартирних будинків.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>
      <w:pPr>
        <w:pStyle w:val="910"/>
        <w:pBdr/>
        <w:spacing/>
        <w:ind w:right="0" w:firstLine="567" w:left="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910"/>
        <w:pBdr/>
        <w:spacing/>
        <w:ind w:right="0" w:firstLine="567" w:left="0"/>
        <w:jc w:val="both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910"/>
        <w:pBdr/>
        <w:spacing/>
        <w:ind w:right="0" w:firstLine="567" w:left="0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910"/>
        <w:pBdr/>
        <w:spacing/>
        <w:ind w:right="0" w:firstLine="567" w:left="0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910"/>
        <w:pBdr/>
        <w:spacing/>
        <w:ind w:right="0" w:firstLine="567" w:left="0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91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Директор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житлово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ремонтно-експлуатаційного підприємства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     Сергій  БОГДАНЕЦЬ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5" w:right="680" w:bottom="709" w:left="1730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F2DA5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2F627590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3">
    <w:nsid w:val="348F0BE1"/>
    <w:lvl w:ilvl="0">
      <w:isLgl w:val="false"/>
      <w:lvlJc w:val="left"/>
      <w:lvlText w:val="%1)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5">
    <w:nsid w:val="5DF11FC7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9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">
    <w:nsid w:val="62AE731F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arabicAbjad"/>
      <w:pPr>
        <w:pBdr/>
        <w:tabs>
          <w:tab w:val="left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"/>
      <w:numFmt w:val="aiueoFullWidth"/>
      <w:pPr>
        <w:pBdr/>
        <w:tabs>
          <w:tab w:val="left" w:leader="none" w:pos="1440"/>
        </w:tabs>
        <w:spacing/>
        <w:ind w:hanging="360" w:left="1440"/>
      </w:pPr>
      <w:rPr>
        <w:rFonts w:ascii="Symbol" w:hAnsi="Symbol"/>
        <w:u w:val="none"/>
      </w:rPr>
      <w:start w:val="1"/>
      <w:suff w:val="space"/>
    </w:lvl>
    <w:lvl w:ilvl="2">
      <w:isLgl w:val="false"/>
      <w:lvlJc w:val="right"/>
      <w:lvlText w:val="%3."/>
      <w:numFmt w:val="arabicAlpha"/>
      <w:pPr>
        <w:pBdr/>
        <w:tabs>
          <w:tab w:val="left" w:leader="none" w:pos="2160"/>
        </w:tabs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arabicAbjad"/>
      <w:pPr>
        <w:pBdr/>
        <w:tabs>
          <w:tab w:val="left" w:leader="none" w:pos="2880"/>
        </w:tabs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bullet"/>
      <w:pPr>
        <w:pBdr/>
        <w:tabs>
          <w:tab w:val="left" w:leader="none" w:pos="3600"/>
        </w:tabs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arabicAlpha"/>
      <w:pPr>
        <w:pBdr/>
        <w:tabs>
          <w:tab w:val="left" w:leader="none" w:pos="4320"/>
        </w:tabs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arabicAbjad"/>
      <w:pPr>
        <w:pBdr/>
        <w:tabs>
          <w:tab w:val="left" w:leader="none" w:pos="5040"/>
        </w:tabs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bullet"/>
      <w:pPr>
        <w:pBdr/>
        <w:tabs>
          <w:tab w:val="left" w:leader="none" w:pos="5760"/>
        </w:tabs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arabicAlpha"/>
      <w:pPr>
        <w:pBdr/>
        <w:tabs>
          <w:tab w:val="left" w:leader="none" w:pos="6480"/>
        </w:tabs>
        <w:spacing/>
        <w:ind w:hanging="180" w:left="6480"/>
      </w:pPr>
      <w:rPr/>
      <w:start w:val="1"/>
      <w:suff w:val="space"/>
    </w:lvl>
  </w:abstractNum>
  <w:abstractNum w:abstractNumId="8">
    <w:lvl w:ilvl="0">
      <w:isLgl w:val="false"/>
      <w:lvlJc w:val="left"/>
      <w:lvlText w:val="-"/>
      <w:numFmt w:val="aiueoFullWidth"/>
      <w:pPr>
        <w:pBdr/>
        <w:tabs>
          <w:tab w:val="left" w:leader="none" w:pos="720"/>
        </w:tabs>
        <w:spacing/>
        <w:ind w:hanging="360" w:left="720"/>
      </w:pPr>
      <w:rPr>
        <w:rFonts w:ascii="Times New Roman" w:hAnsi="Times New Roman" w:eastAsia="Times New Roman"/>
        <w:u w:val="none"/>
      </w:rPr>
      <w:start w:val="0"/>
      <w:suff w:val="space"/>
    </w:lvl>
    <w:lvl w:ilvl="1">
      <w:isLgl w:val="false"/>
      <w:lvlJc w:val="left"/>
      <w:lvlText w:val="o"/>
      <w:numFmt w:val="aiueoFullWidth"/>
      <w:pPr>
        <w:pBdr/>
        <w:tabs>
          <w:tab w:val="left" w:leader="none" w:pos="1440"/>
        </w:tabs>
        <w:spacing/>
        <w:ind w:hanging="360" w:left="1440"/>
      </w:pPr>
      <w:rPr>
        <w:rFonts w:ascii="Courier New" w:hAnsi="Courier New"/>
      </w:rPr>
      <w:start w:val="1"/>
      <w:suff w:val="space"/>
    </w:lvl>
    <w:lvl w:ilvl="2">
      <w:isLgl w:val="false"/>
      <w:lvlJc w:val="left"/>
      <w:lvlText w:val=""/>
      <w:numFmt w:val="aiueoFullWidth"/>
      <w:pPr>
        <w:pBdr/>
        <w:tabs>
          <w:tab w:val="left" w:leader="none" w:pos="2160"/>
        </w:tabs>
        <w:spacing/>
        <w:ind w:hanging="360" w:left="2160"/>
      </w:pPr>
      <w:rPr>
        <w:rFonts w:ascii="Wingdings" w:hAnsi="Wingdings"/>
      </w:rPr>
      <w:start w:val="1"/>
      <w:suff w:val="space"/>
    </w:lvl>
    <w:lvl w:ilvl="3">
      <w:isLgl w:val="false"/>
      <w:lvlJc w:val="left"/>
      <w:lvlText w:val=""/>
      <w:numFmt w:val="aiueoFullWidth"/>
      <w:pPr>
        <w:pBdr/>
        <w:tabs>
          <w:tab w:val="left" w:leader="none" w:pos="2880"/>
        </w:tabs>
        <w:spacing/>
        <w:ind w:hanging="360" w:left="2880"/>
      </w:pPr>
      <w:rPr>
        <w:rFonts w:ascii="Symbol" w:hAnsi="Symbol"/>
      </w:rPr>
      <w:start w:val="1"/>
      <w:suff w:val="space"/>
    </w:lvl>
    <w:lvl w:ilvl="4">
      <w:isLgl w:val="false"/>
      <w:lvlJc w:val="left"/>
      <w:lvlText w:val="o"/>
      <w:numFmt w:val="aiueoFullWidth"/>
      <w:pPr>
        <w:pBdr/>
        <w:tabs>
          <w:tab w:val="left" w:leader="none" w:pos="3600"/>
        </w:tabs>
        <w:spacing/>
        <w:ind w:hanging="360" w:left="3600"/>
      </w:pPr>
      <w:rPr>
        <w:rFonts w:ascii="Courier New" w:hAnsi="Courier New"/>
      </w:rPr>
      <w:start w:val="1"/>
      <w:suff w:val="space"/>
    </w:lvl>
    <w:lvl w:ilvl="5">
      <w:isLgl w:val="false"/>
      <w:lvlJc w:val="left"/>
      <w:lvlText w:val=""/>
      <w:numFmt w:val="aiueoFullWidth"/>
      <w:pPr>
        <w:pBdr/>
        <w:tabs>
          <w:tab w:val="left" w:leader="none" w:pos="4320"/>
        </w:tabs>
        <w:spacing/>
        <w:ind w:hanging="360" w:left="4320"/>
      </w:pPr>
      <w:rPr>
        <w:rFonts w:ascii="Wingdings" w:hAnsi="Wingdings"/>
      </w:rPr>
      <w:start w:val="1"/>
      <w:suff w:val="space"/>
    </w:lvl>
    <w:lvl w:ilvl="6">
      <w:isLgl w:val="false"/>
      <w:lvlJc w:val="left"/>
      <w:lvlText w:val=""/>
      <w:numFmt w:val="aiueoFullWidth"/>
      <w:pPr>
        <w:pBdr/>
        <w:tabs>
          <w:tab w:val="left" w:leader="none" w:pos="5040"/>
        </w:tabs>
        <w:spacing/>
        <w:ind w:hanging="360" w:left="5040"/>
      </w:pPr>
      <w:rPr>
        <w:rFonts w:ascii="Symbol" w:hAnsi="Symbol"/>
      </w:rPr>
      <w:start w:val="1"/>
      <w:suff w:val="space"/>
    </w:lvl>
    <w:lvl w:ilvl="7">
      <w:isLgl w:val="false"/>
      <w:lvlJc w:val="left"/>
      <w:lvlText w:val="o"/>
      <w:numFmt w:val="aiueoFullWidth"/>
      <w:pPr>
        <w:pBdr/>
        <w:tabs>
          <w:tab w:val="left" w:leader="none" w:pos="5760"/>
        </w:tabs>
        <w:spacing/>
        <w:ind w:hanging="360" w:left="5760"/>
      </w:pPr>
      <w:rPr>
        <w:rFonts w:ascii="Courier New" w:hAnsi="Courier New"/>
      </w:rPr>
      <w:start w:val="1"/>
      <w:suff w:val="space"/>
    </w:lvl>
    <w:lvl w:ilvl="8">
      <w:isLgl w:val="false"/>
      <w:lvlJc w:val="left"/>
      <w:lvlText w:val=""/>
      <w:numFmt w:val="aiueoFullWidth"/>
      <w:pPr>
        <w:pBdr/>
        <w:tabs>
          <w:tab w:val="left" w:leader="none" w:pos="6480"/>
        </w:tabs>
        <w:spacing/>
        <w:ind w:hanging="360" w:left="6480"/>
      </w:pPr>
      <w:rPr>
        <w:rFonts w:ascii="Wingdings" w:hAnsi="Wingdings"/>
      </w:rPr>
      <w:start w:val="1"/>
      <w:suff w:val="space"/>
    </w:lvl>
  </w:abstractNum>
  <w:abstractNum w:abstractNumId="9">
    <w:nsid w:val="7B772435"/>
    <w:lvl w:ilvl="0">
      <w:isLgl w:val="false"/>
      <w:lvlJc w:val="left"/>
      <w:lvlText w:val="–"/>
      <w:numFmt w:val="bullet"/>
      <w:pPr>
        <w:pBdr/>
        <w:spacing/>
        <w:ind w:hanging="360" w:left="1789"/>
      </w:pPr>
      <w:rPr>
        <w:rFonts w:hint="default" w:ascii="Arial" w:hAnsi="Arial" w:eastAsia="Arial" w:cs="Arial"/>
        <w:u w:val="none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50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322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394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66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538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610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82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754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8">
    <w:name w:val="Heading 1"/>
    <w:basedOn w:val="910"/>
    <w:next w:val="910"/>
    <w:link w:val="85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9">
    <w:name w:val="Heading 2"/>
    <w:basedOn w:val="910"/>
    <w:next w:val="910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0">
    <w:name w:val="Heading 3"/>
    <w:basedOn w:val="910"/>
    <w:next w:val="910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1">
    <w:name w:val="Heading 4"/>
    <w:basedOn w:val="910"/>
    <w:next w:val="910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2">
    <w:name w:val="Heading 5"/>
    <w:basedOn w:val="910"/>
    <w:next w:val="910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3">
    <w:name w:val="Heading 6"/>
    <w:basedOn w:val="910"/>
    <w:next w:val="910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4">
    <w:name w:val="Heading 7"/>
    <w:basedOn w:val="910"/>
    <w:next w:val="910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5">
    <w:name w:val="Heading 8"/>
    <w:basedOn w:val="910"/>
    <w:next w:val="910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6">
    <w:name w:val="Heading 9"/>
    <w:basedOn w:val="910"/>
    <w:next w:val="910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7" w:default="1">
    <w:name w:val="Default Paragraph Font"/>
    <w:uiPriority w:val="1"/>
    <w:semiHidden/>
    <w:unhideWhenUsed/>
    <w:pPr>
      <w:pBdr/>
      <w:spacing/>
      <w:ind/>
    </w:pPr>
  </w:style>
  <w:style w:type="numbering" w:styleId="858" w:default="1">
    <w:name w:val="No List"/>
    <w:uiPriority w:val="99"/>
    <w:semiHidden/>
    <w:unhideWhenUsed/>
    <w:pPr>
      <w:pBdr/>
      <w:spacing/>
      <w:ind/>
    </w:pPr>
  </w:style>
  <w:style w:type="character" w:styleId="859">
    <w:name w:val="Heading 1 Char"/>
    <w:basedOn w:val="857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857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857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857"/>
    <w:link w:val="85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857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857"/>
    <w:link w:val="85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857"/>
    <w:link w:val="85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857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857"/>
    <w:link w:val="8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10"/>
    <w:next w:val="910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857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10"/>
    <w:next w:val="910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857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10"/>
    <w:next w:val="910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857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4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875">
    <w:name w:val="Intense Emphasis"/>
    <w:basedOn w:val="85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6">
    <w:name w:val="Intense Quote"/>
    <w:basedOn w:val="910"/>
    <w:next w:val="910"/>
    <w:link w:val="87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7">
    <w:name w:val="Intense Quote Char"/>
    <w:basedOn w:val="857"/>
    <w:link w:val="8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8">
    <w:name w:val="Intense Reference"/>
    <w:basedOn w:val="85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9">
    <w:name w:val="No Spacing"/>
    <w:basedOn w:val="910"/>
    <w:uiPriority w:val="1"/>
    <w:qFormat/>
    <w:pPr>
      <w:pBdr/>
      <w:spacing w:after="0" w:line="240" w:lineRule="auto"/>
      <w:ind/>
    </w:pPr>
  </w:style>
  <w:style w:type="character" w:styleId="880">
    <w:name w:val="Subtle Emphasis"/>
    <w:basedOn w:val="85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Emphasis"/>
    <w:basedOn w:val="857"/>
    <w:uiPriority w:val="20"/>
    <w:qFormat/>
    <w:pPr>
      <w:pBdr/>
      <w:spacing/>
      <w:ind/>
    </w:pPr>
    <w:rPr>
      <w:i/>
      <w:iCs/>
    </w:rPr>
  </w:style>
  <w:style w:type="character" w:styleId="882">
    <w:name w:val="Strong"/>
    <w:basedOn w:val="857"/>
    <w:uiPriority w:val="22"/>
    <w:qFormat/>
    <w:pPr>
      <w:pBdr/>
      <w:spacing/>
      <w:ind/>
    </w:pPr>
    <w:rPr>
      <w:b/>
      <w:bCs/>
    </w:rPr>
  </w:style>
  <w:style w:type="character" w:styleId="883">
    <w:name w:val="Subtle Reference"/>
    <w:basedOn w:val="85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85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910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Header Char"/>
    <w:basedOn w:val="857"/>
    <w:link w:val="885"/>
    <w:uiPriority w:val="99"/>
    <w:pPr>
      <w:pBdr/>
      <w:spacing/>
      <w:ind/>
    </w:pPr>
  </w:style>
  <w:style w:type="paragraph" w:styleId="887">
    <w:name w:val="Footer"/>
    <w:basedOn w:val="910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8">
    <w:name w:val="Footer Char"/>
    <w:basedOn w:val="857"/>
    <w:link w:val="887"/>
    <w:uiPriority w:val="99"/>
    <w:pPr>
      <w:pBdr/>
      <w:spacing/>
      <w:ind/>
    </w:pPr>
  </w:style>
  <w:style w:type="paragraph" w:styleId="889">
    <w:name w:val="Caption"/>
    <w:basedOn w:val="910"/>
    <w:next w:val="91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0">
    <w:name w:val="footnote text"/>
    <w:basedOn w:val="910"/>
    <w:link w:val="8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1">
    <w:name w:val="Footnote Text Char"/>
    <w:basedOn w:val="857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10"/>
    <w:link w:val="8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4">
    <w:name w:val="Endnote Text Char"/>
    <w:basedOn w:val="857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85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7">
    <w:name w:val="FollowedHyperlink"/>
    <w:basedOn w:val="85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8">
    <w:name w:val="toc 1"/>
    <w:basedOn w:val="910"/>
    <w:next w:val="910"/>
    <w:uiPriority w:val="39"/>
    <w:unhideWhenUsed/>
    <w:pPr>
      <w:pBdr/>
      <w:spacing w:after="100"/>
      <w:ind/>
    </w:pPr>
  </w:style>
  <w:style w:type="paragraph" w:styleId="899">
    <w:name w:val="toc 2"/>
    <w:basedOn w:val="910"/>
    <w:next w:val="910"/>
    <w:uiPriority w:val="39"/>
    <w:unhideWhenUsed/>
    <w:pPr>
      <w:pBdr/>
      <w:spacing w:after="100"/>
      <w:ind w:left="220"/>
    </w:pPr>
  </w:style>
  <w:style w:type="paragraph" w:styleId="900">
    <w:name w:val="toc 3"/>
    <w:basedOn w:val="910"/>
    <w:next w:val="910"/>
    <w:uiPriority w:val="39"/>
    <w:unhideWhenUsed/>
    <w:pPr>
      <w:pBdr/>
      <w:spacing w:after="100"/>
      <w:ind w:left="440"/>
    </w:pPr>
  </w:style>
  <w:style w:type="paragraph" w:styleId="901">
    <w:name w:val="toc 4"/>
    <w:basedOn w:val="910"/>
    <w:next w:val="910"/>
    <w:uiPriority w:val="39"/>
    <w:unhideWhenUsed/>
    <w:pPr>
      <w:pBdr/>
      <w:spacing w:after="100"/>
      <w:ind w:left="660"/>
    </w:pPr>
  </w:style>
  <w:style w:type="paragraph" w:styleId="902">
    <w:name w:val="toc 5"/>
    <w:basedOn w:val="910"/>
    <w:next w:val="910"/>
    <w:uiPriority w:val="39"/>
    <w:unhideWhenUsed/>
    <w:pPr>
      <w:pBdr/>
      <w:spacing w:after="100"/>
      <w:ind w:left="880"/>
    </w:pPr>
  </w:style>
  <w:style w:type="paragraph" w:styleId="903">
    <w:name w:val="toc 6"/>
    <w:basedOn w:val="910"/>
    <w:next w:val="910"/>
    <w:uiPriority w:val="39"/>
    <w:unhideWhenUsed/>
    <w:pPr>
      <w:pBdr/>
      <w:spacing w:after="100"/>
      <w:ind w:left="1100"/>
    </w:pPr>
  </w:style>
  <w:style w:type="paragraph" w:styleId="904">
    <w:name w:val="toc 7"/>
    <w:basedOn w:val="910"/>
    <w:next w:val="910"/>
    <w:uiPriority w:val="39"/>
    <w:unhideWhenUsed/>
    <w:pPr>
      <w:pBdr/>
      <w:spacing w:after="100"/>
      <w:ind w:left="1320"/>
    </w:pPr>
  </w:style>
  <w:style w:type="paragraph" w:styleId="905">
    <w:name w:val="toc 8"/>
    <w:basedOn w:val="910"/>
    <w:next w:val="910"/>
    <w:uiPriority w:val="39"/>
    <w:unhideWhenUsed/>
    <w:pPr>
      <w:pBdr/>
      <w:spacing w:after="100"/>
      <w:ind w:left="1540"/>
    </w:pPr>
  </w:style>
  <w:style w:type="paragraph" w:styleId="906">
    <w:name w:val="toc 9"/>
    <w:basedOn w:val="910"/>
    <w:next w:val="910"/>
    <w:uiPriority w:val="39"/>
    <w:unhideWhenUsed/>
    <w:pPr>
      <w:pBdr/>
      <w:spacing w:after="100"/>
      <w:ind w:left="1760"/>
    </w:pPr>
  </w:style>
  <w:style w:type="character" w:styleId="907">
    <w:name w:val="Placeholder Text"/>
    <w:basedOn w:val="857"/>
    <w:uiPriority w:val="99"/>
    <w:semiHidden/>
    <w:pPr>
      <w:pBdr/>
      <w:spacing/>
      <w:ind/>
    </w:pPr>
    <w:rPr>
      <w:color w:val="666666"/>
    </w:r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paragraph" w:styleId="910" w:default="1">
    <w:name w:val="Normal"/>
    <w:next w:val="910"/>
    <w:link w:val="910"/>
    <w:qFormat/>
    <w:pPr>
      <w:pBdr/>
      <w:spacing/>
      <w:ind/>
    </w:pPr>
    <w:rPr>
      <w:lang w:val="ru-RU" w:eastAsia="ru-RU" w:bidi="ar-SA"/>
    </w:rPr>
  </w:style>
  <w:style w:type="paragraph" w:styleId="911">
    <w:name w:val="Заголовок 1"/>
    <w:basedOn w:val="910"/>
    <w:next w:val="910"/>
    <w:link w:val="91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2">
    <w:name w:val="Заголовок 2"/>
    <w:basedOn w:val="910"/>
    <w:next w:val="910"/>
    <w:link w:val="91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13">
    <w:name w:val="Заголовок 3"/>
    <w:basedOn w:val="910"/>
    <w:next w:val="910"/>
    <w:link w:val="910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14">
    <w:name w:val="Заголовок 4"/>
    <w:basedOn w:val="910"/>
    <w:next w:val="910"/>
    <w:link w:val="910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15">
    <w:name w:val="Основной шрифт абзаца"/>
    <w:next w:val="915"/>
    <w:link w:val="922"/>
    <w:semiHidden/>
    <w:pPr>
      <w:pBdr/>
      <w:spacing/>
      <w:ind/>
    </w:pPr>
  </w:style>
  <w:style w:type="table" w:styleId="916">
    <w:name w:val="Обычная таблица"/>
    <w:next w:val="916"/>
    <w:link w:val="91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7">
    <w:name w:val="Нет списка"/>
    <w:next w:val="917"/>
    <w:link w:val="910"/>
    <w:semiHidden/>
    <w:pPr>
      <w:pBdr/>
      <w:spacing/>
      <w:ind/>
    </w:pPr>
  </w:style>
  <w:style w:type="paragraph" w:styleId="918">
    <w:name w:val="Верхний колонтитул"/>
    <w:basedOn w:val="910"/>
    <w:next w:val="918"/>
    <w:link w:val="91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9">
    <w:name w:val="Нижний колонтитул"/>
    <w:basedOn w:val="910"/>
    <w:next w:val="919"/>
    <w:link w:val="91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0">
    <w:name w:val="Основной текст"/>
    <w:basedOn w:val="910"/>
    <w:next w:val="920"/>
    <w:link w:val="910"/>
    <w:pPr>
      <w:pBdr/>
      <w:spacing/>
      <w:ind w:right="-2"/>
      <w:jc w:val="both"/>
    </w:pPr>
    <w:rPr>
      <w:sz w:val="28"/>
      <w:lang w:val="uk-UA"/>
    </w:rPr>
  </w:style>
  <w:style w:type="paragraph" w:styleId="921">
    <w:name w:val="Основной текст 2"/>
    <w:basedOn w:val="910"/>
    <w:next w:val="921"/>
    <w:link w:val="910"/>
    <w:pPr>
      <w:pBdr/>
      <w:spacing/>
      <w:ind/>
    </w:pPr>
    <w:rPr>
      <w:sz w:val="28"/>
      <w:lang w:val="uk-UA"/>
    </w:rPr>
  </w:style>
  <w:style w:type="paragraph" w:styleId="922">
    <w:name w:val="Знак"/>
    <w:basedOn w:val="910"/>
    <w:next w:val="922"/>
    <w:link w:val="915"/>
    <w:pPr>
      <w:pBdr/>
      <w:spacing/>
      <w:ind/>
    </w:pPr>
    <w:rPr>
      <w:rFonts w:ascii="Verdana" w:hAnsi="Verdana" w:cs="Verdana"/>
      <w:lang w:val="en-US" w:eastAsia="en-US"/>
    </w:rPr>
  </w:style>
  <w:style w:type="paragraph" w:styleId="923">
    <w:name w:val="Текст выноски"/>
    <w:basedOn w:val="910"/>
    <w:next w:val="923"/>
    <w:link w:val="91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24">
    <w:name w:val="txt1"/>
    <w:next w:val="924"/>
    <w:link w:val="910"/>
    <w:pPr>
      <w:pBdr/>
      <w:spacing/>
      <w:ind/>
    </w:pPr>
    <w:rPr>
      <w:sz w:val="24"/>
      <w:szCs w:val="24"/>
    </w:rPr>
  </w:style>
  <w:style w:type="paragraph" w:styleId="925">
    <w:name w:val="Обычный (веб)"/>
    <w:basedOn w:val="910"/>
    <w:next w:val="925"/>
    <w:link w:val="910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26" w:customStyle="1">
    <w:name w:val="Обычный"/>
    <w:pPr>
      <w:keepNext w:val="false"/>
      <w:keepLines w:val="false"/>
      <w:pageBreakBefore w:val="false"/>
      <w:widowControl w:val="tru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hint="default"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single"/>
      <w:vertAlign w:val="baseline"/>
      <w:rtl w:val="0"/>
      <w:cs w:val="0"/>
      <w:lang w:val="uk-UA" w:eastAsia="uk-UA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11</cp:revision>
  <dcterms:created xsi:type="dcterms:W3CDTF">2025-02-12T06:34:00Z</dcterms:created>
  <dcterms:modified xsi:type="dcterms:W3CDTF">2026-02-13T07:53:31Z</dcterms:modified>
  <cp:version>983040</cp:version>
</cp:coreProperties>
</file>